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834AF" w14:textId="625E20E0" w:rsidR="004315B5" w:rsidRDefault="004315B5" w:rsidP="004315B5">
      <w:pPr>
        <w:jc w:val="right"/>
        <w:rPr>
          <w:rFonts w:ascii="Arial" w:hAnsi="Arial" w:cs="Arial"/>
          <w:b/>
          <w:u w:val="single"/>
        </w:rPr>
      </w:pPr>
      <w:r>
        <w:rPr>
          <w:rFonts w:ascii="Arial" w:hAnsi="Arial" w:cs="Arial"/>
          <w:b/>
          <w:u w:val="single"/>
        </w:rPr>
        <w:t>Appendix A</w:t>
      </w:r>
    </w:p>
    <w:p w14:paraId="23071931" w14:textId="77777777" w:rsidR="004315B5" w:rsidRDefault="004315B5" w:rsidP="004315B5">
      <w:pPr>
        <w:jc w:val="right"/>
        <w:rPr>
          <w:rFonts w:ascii="Arial" w:hAnsi="Arial" w:cs="Arial"/>
          <w:b/>
          <w:sz w:val="28"/>
        </w:rPr>
      </w:pPr>
    </w:p>
    <w:p w14:paraId="3E832264" w14:textId="7A520B2E" w:rsidR="00992E96" w:rsidRDefault="004315B5" w:rsidP="004315B5">
      <w:pPr>
        <w:rPr>
          <w:rFonts w:ascii="Arial" w:hAnsi="Arial" w:cs="Arial"/>
          <w:b/>
          <w:sz w:val="28"/>
        </w:rPr>
      </w:pPr>
      <w:r>
        <w:rPr>
          <w:rFonts w:ascii="Arial" w:hAnsi="Arial" w:cs="Arial"/>
          <w:b/>
          <w:sz w:val="28"/>
        </w:rPr>
        <w:t>Biographies of the speakers</w:t>
      </w:r>
    </w:p>
    <w:p w14:paraId="4824842C" w14:textId="683DD628" w:rsidR="004315B5" w:rsidRDefault="004315B5" w:rsidP="00992E96">
      <w:pPr>
        <w:rPr>
          <w:rFonts w:ascii="Arial" w:hAnsi="Arial" w:cs="Arial"/>
          <w:b/>
          <w:szCs w:val="22"/>
        </w:rPr>
      </w:pPr>
    </w:p>
    <w:p w14:paraId="44D38E94" w14:textId="284238AF" w:rsidR="004315B5" w:rsidRDefault="004315B5" w:rsidP="004315B5">
      <w:pPr>
        <w:rPr>
          <w:rFonts w:ascii="Arial" w:hAnsi="Arial" w:cs="Arial"/>
        </w:rPr>
      </w:pPr>
      <w:r w:rsidRPr="002A626E">
        <w:rPr>
          <w:rFonts w:ascii="Arial" w:hAnsi="Arial" w:cs="Arial"/>
          <w:b/>
        </w:rPr>
        <w:t>Rachel Campbell</w:t>
      </w:r>
      <w:r w:rsidRPr="002A626E">
        <w:rPr>
          <w:rFonts w:ascii="Arial" w:hAnsi="Arial" w:cs="Arial"/>
        </w:rPr>
        <w:t xml:space="preserve"> – Senior Policy Officer &amp; Head of Regional Programme, British Property</w:t>
      </w:r>
      <w:r>
        <w:rPr>
          <w:rFonts w:ascii="Arial" w:hAnsi="Arial" w:cs="Arial"/>
        </w:rPr>
        <w:t xml:space="preserve"> </w:t>
      </w:r>
      <w:r w:rsidRPr="002A626E">
        <w:rPr>
          <w:rFonts w:ascii="Arial" w:hAnsi="Arial" w:cs="Arial"/>
        </w:rPr>
        <w:t>Federation</w:t>
      </w:r>
      <w:r>
        <w:rPr>
          <w:rFonts w:ascii="Arial" w:hAnsi="Arial" w:cs="Arial"/>
        </w:rPr>
        <w:t xml:space="preserve"> (BPF)</w:t>
      </w:r>
    </w:p>
    <w:p w14:paraId="3883DAB3" w14:textId="665862A2" w:rsidR="004315B5" w:rsidRDefault="004315B5" w:rsidP="004315B5">
      <w:pPr>
        <w:rPr>
          <w:rFonts w:ascii="Arial" w:hAnsi="Arial" w:cs="Arial"/>
        </w:rPr>
      </w:pPr>
    </w:p>
    <w:p w14:paraId="428C3027" w14:textId="67CCCE05" w:rsidR="004315B5" w:rsidRPr="004315B5" w:rsidRDefault="00F947F3" w:rsidP="00F947F3">
      <w:pPr>
        <w:pStyle w:val="ListParagraph"/>
        <w:numPr>
          <w:ilvl w:val="0"/>
          <w:numId w:val="8"/>
        </w:numPr>
        <w:ind w:left="3261"/>
        <w:rPr>
          <w:rFonts w:ascii="Arial" w:hAnsi="Arial" w:cs="Arial"/>
        </w:rPr>
      </w:pPr>
      <w:r>
        <w:rPr>
          <w:rFonts w:ascii="Arial" w:hAnsi="Arial" w:cs="Arial"/>
          <w:noProof/>
        </w:rPr>
        <w:drawing>
          <wp:anchor distT="0" distB="0" distL="114300" distR="114300" simplePos="0" relativeHeight="251653632" behindDoc="0" locked="0" layoutInCell="1" allowOverlap="1" wp14:anchorId="518CA251" wp14:editId="6154D0B6">
            <wp:simplePos x="0" y="0"/>
            <wp:positionH relativeFrom="column">
              <wp:posOffset>116395</wp:posOffset>
            </wp:positionH>
            <wp:positionV relativeFrom="paragraph">
              <wp:posOffset>27305</wp:posOffset>
            </wp:positionV>
            <wp:extent cx="1467078" cy="201880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ampbell%20165x22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7078" cy="2018805"/>
                    </a:xfrm>
                    <a:prstGeom prst="rect">
                      <a:avLst/>
                    </a:prstGeom>
                  </pic:spPr>
                </pic:pic>
              </a:graphicData>
            </a:graphic>
            <wp14:sizeRelH relativeFrom="page">
              <wp14:pctWidth>0</wp14:pctWidth>
            </wp14:sizeRelH>
            <wp14:sizeRelV relativeFrom="page">
              <wp14:pctHeight>0</wp14:pctHeight>
            </wp14:sizeRelV>
          </wp:anchor>
        </w:drawing>
      </w:r>
      <w:r w:rsidR="004315B5" w:rsidRPr="004315B5">
        <w:rPr>
          <w:rFonts w:ascii="Arial" w:hAnsi="Arial" w:cs="Arial"/>
        </w:rPr>
        <w:t>Rachel is a Senior Policy Officer at the BPF, which represents the interests of organisations who own and invest in real estate in the UK. This includes working with BPF members, Government and other stakeholders to influence and develop policy related to infrastructure and regeneration. Since joining the BPF in 2014, Rachel has implemented and now leads on a regional programme of work for the organisation in order to inform central Government as to the impact of national policy on different places, as well as engaging with local and combined authorities and BPF members across the UK to ensure the sector is able to deliver regional growth and sustainable development.</w:t>
      </w:r>
    </w:p>
    <w:p w14:paraId="3569C996" w14:textId="77777777" w:rsidR="004315B5" w:rsidRDefault="004315B5" w:rsidP="004315B5">
      <w:pPr>
        <w:rPr>
          <w:rFonts w:ascii="Arial" w:hAnsi="Arial" w:cs="Arial"/>
        </w:rPr>
      </w:pPr>
    </w:p>
    <w:p w14:paraId="24F3C157" w14:textId="77777777" w:rsidR="00F947F3" w:rsidRDefault="00F947F3" w:rsidP="004315B5">
      <w:pPr>
        <w:rPr>
          <w:rFonts w:ascii="Arial" w:hAnsi="Arial" w:cs="Arial"/>
        </w:rPr>
      </w:pPr>
    </w:p>
    <w:p w14:paraId="172032DE" w14:textId="77777777" w:rsidR="004315B5" w:rsidRDefault="004315B5" w:rsidP="004315B5">
      <w:pPr>
        <w:rPr>
          <w:rFonts w:ascii="Arial" w:hAnsi="Arial" w:cs="Arial"/>
        </w:rPr>
      </w:pPr>
      <w:r w:rsidRPr="00047CC5">
        <w:rPr>
          <w:rFonts w:ascii="Arial" w:hAnsi="Arial" w:cs="Arial"/>
          <w:b/>
        </w:rPr>
        <w:t>Will Colthorpe</w:t>
      </w:r>
      <w:r>
        <w:rPr>
          <w:rFonts w:ascii="Arial" w:hAnsi="Arial" w:cs="Arial"/>
          <w:b/>
        </w:rPr>
        <w:t xml:space="preserve"> - </w:t>
      </w:r>
      <w:r>
        <w:rPr>
          <w:rFonts w:ascii="Arial" w:hAnsi="Arial" w:cs="Arial"/>
        </w:rPr>
        <w:t>Argent and Chair of the BPF’s Development Committee</w:t>
      </w:r>
    </w:p>
    <w:p w14:paraId="3667610D" w14:textId="0FBC5917" w:rsidR="004315B5" w:rsidRPr="00F947F3" w:rsidRDefault="004315B5" w:rsidP="004315B5">
      <w:pPr>
        <w:rPr>
          <w:rFonts w:ascii="Arial" w:hAnsi="Arial" w:cs="Arial"/>
        </w:rPr>
      </w:pPr>
    </w:p>
    <w:p w14:paraId="0C8BCBD9" w14:textId="47B27EE1" w:rsidR="004315B5" w:rsidRPr="00F947F3" w:rsidRDefault="003A6A37" w:rsidP="00F947F3">
      <w:pPr>
        <w:pStyle w:val="ListParagraph"/>
        <w:numPr>
          <w:ilvl w:val="0"/>
          <w:numId w:val="8"/>
        </w:numPr>
        <w:ind w:left="3261"/>
        <w:rPr>
          <w:rFonts w:ascii="Arial" w:hAnsi="Arial" w:cs="Arial"/>
        </w:rPr>
      </w:pPr>
      <w:r>
        <w:rPr>
          <w:rFonts w:ascii="Arial" w:hAnsi="Arial" w:cs="Arial"/>
          <w:noProof/>
        </w:rPr>
        <w:drawing>
          <wp:anchor distT="0" distB="0" distL="114300" distR="114300" simplePos="0" relativeHeight="251674112" behindDoc="0" locked="0" layoutInCell="1" allowOverlap="1" wp14:anchorId="5A574A3C" wp14:editId="6252E6FF">
            <wp:simplePos x="0" y="0"/>
            <wp:positionH relativeFrom="column">
              <wp:posOffset>175705</wp:posOffset>
            </wp:positionH>
            <wp:positionV relativeFrom="paragraph">
              <wp:posOffset>27305</wp:posOffset>
            </wp:positionV>
            <wp:extent cx="1365250" cy="136525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colthorp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5250" cy="1365250"/>
                    </a:xfrm>
                    <a:prstGeom prst="rect">
                      <a:avLst/>
                    </a:prstGeom>
                  </pic:spPr>
                </pic:pic>
              </a:graphicData>
            </a:graphic>
            <wp14:sizeRelH relativeFrom="margin">
              <wp14:pctWidth>0</wp14:pctWidth>
            </wp14:sizeRelH>
            <wp14:sizeRelV relativeFrom="margin">
              <wp14:pctHeight>0</wp14:pctHeight>
            </wp14:sizeRelV>
          </wp:anchor>
        </w:drawing>
      </w:r>
      <w:r w:rsidR="004315B5" w:rsidRPr="004315B5">
        <w:rPr>
          <w:rFonts w:ascii="Arial" w:hAnsi="Arial" w:cs="Arial"/>
        </w:rPr>
        <w:t xml:space="preserve">Will joined Argent in 2006 and works </w:t>
      </w:r>
      <w:r w:rsidR="00F947F3">
        <w:rPr>
          <w:rFonts w:ascii="Arial" w:hAnsi="Arial" w:cs="Arial"/>
        </w:rPr>
        <w:t>on Argent’s mixed use schemes.</w:t>
      </w:r>
      <w:r w:rsidR="004315B5" w:rsidRPr="004315B5">
        <w:rPr>
          <w:rFonts w:ascii="Arial" w:hAnsi="Arial" w:cs="Arial"/>
        </w:rPr>
        <w:t xml:space="preserve"> He also leads on commercial developments and leasing at King’s Cross where he is responsible for development tota</w:t>
      </w:r>
      <w:r w:rsidR="00F947F3">
        <w:rPr>
          <w:rFonts w:ascii="Arial" w:hAnsi="Arial" w:cs="Arial"/>
        </w:rPr>
        <w:t xml:space="preserve">lling a gross value of £1.5bn. </w:t>
      </w:r>
      <w:r w:rsidR="004315B5" w:rsidRPr="004315B5">
        <w:rPr>
          <w:rFonts w:ascii="Arial" w:hAnsi="Arial" w:cs="Arial"/>
        </w:rPr>
        <w:t>Will is also a specialist in refurbishment and re-use of historic buildings and structures.</w:t>
      </w:r>
      <w:r w:rsidR="00F947F3">
        <w:rPr>
          <w:rFonts w:ascii="Arial" w:hAnsi="Arial" w:cs="Arial"/>
        </w:rPr>
        <w:t xml:space="preserve"> </w:t>
      </w:r>
      <w:r w:rsidR="004315B5" w:rsidRPr="00F947F3">
        <w:rPr>
          <w:rFonts w:ascii="Arial" w:hAnsi="Arial" w:cs="Arial"/>
        </w:rPr>
        <w:t>At a corporate level, Will is involved in internal learning and development as well as strategic initiatives.  He is also involved in new opportunities, commercial review, and structuring.</w:t>
      </w:r>
    </w:p>
    <w:p w14:paraId="2FCA4F76" w14:textId="77777777" w:rsidR="004315B5" w:rsidRPr="002363D9" w:rsidRDefault="004315B5" w:rsidP="00F947F3">
      <w:pPr>
        <w:ind w:left="3261"/>
        <w:rPr>
          <w:rFonts w:ascii="Arial" w:hAnsi="Arial" w:cs="Arial"/>
        </w:rPr>
      </w:pPr>
    </w:p>
    <w:p w14:paraId="33DC2A5B" w14:textId="3B7977EB" w:rsidR="004315B5" w:rsidRDefault="004315B5" w:rsidP="003A6A37">
      <w:pPr>
        <w:pStyle w:val="ListParagraph"/>
        <w:numPr>
          <w:ilvl w:val="0"/>
          <w:numId w:val="8"/>
        </w:numPr>
        <w:ind w:left="426"/>
        <w:rPr>
          <w:rFonts w:ascii="Arial" w:hAnsi="Arial" w:cs="Arial"/>
        </w:rPr>
      </w:pPr>
      <w:r w:rsidRPr="004315B5">
        <w:rPr>
          <w:rFonts w:ascii="Arial" w:hAnsi="Arial" w:cs="Arial"/>
        </w:rPr>
        <w:t>Will read Architecture at Sheffield University, and has a Masters in Planning and Development.  Before joining Argent Will worked in valuation, town planning and architecture.</w:t>
      </w:r>
      <w:r>
        <w:rPr>
          <w:rFonts w:ascii="Arial" w:hAnsi="Arial" w:cs="Arial"/>
        </w:rPr>
        <w:t xml:space="preserve"> </w:t>
      </w:r>
      <w:r w:rsidRPr="004315B5">
        <w:rPr>
          <w:rFonts w:ascii="Arial" w:hAnsi="Arial" w:cs="Arial"/>
        </w:rPr>
        <w:t>He is chair of the British Property Federation’s Development Committee, sits on CoreNet’s UK Executive Board and is a member of the Royal Institution of Chartered Surveyors.</w:t>
      </w:r>
    </w:p>
    <w:p w14:paraId="4BC11254" w14:textId="77777777" w:rsidR="003A6A37" w:rsidRDefault="003A6A37" w:rsidP="004315B5">
      <w:pPr>
        <w:rPr>
          <w:rFonts w:ascii="Arial" w:hAnsi="Arial" w:cs="Arial"/>
          <w:b/>
        </w:rPr>
      </w:pPr>
    </w:p>
    <w:p w14:paraId="5CC3975C" w14:textId="030BA06E" w:rsidR="004315B5" w:rsidRDefault="00F947F3" w:rsidP="004315B5">
      <w:pPr>
        <w:rPr>
          <w:rFonts w:ascii="Arial" w:hAnsi="Arial" w:cs="Arial"/>
        </w:rPr>
      </w:pPr>
      <w:r>
        <w:rPr>
          <w:rFonts w:ascii="Arial" w:hAnsi="Arial" w:cs="Arial"/>
          <w:b/>
        </w:rPr>
        <w:t>Pe</w:t>
      </w:r>
      <w:r w:rsidR="004315B5" w:rsidRPr="002A626E">
        <w:rPr>
          <w:rFonts w:ascii="Arial" w:hAnsi="Arial" w:cs="Arial"/>
          <w:b/>
        </w:rPr>
        <w:t>te Gladwell</w:t>
      </w:r>
      <w:r w:rsidR="004315B5" w:rsidRPr="002A626E">
        <w:rPr>
          <w:rFonts w:ascii="Arial" w:hAnsi="Arial" w:cs="Arial"/>
        </w:rPr>
        <w:t>, Head of Public Sector Partnerships, L&amp;G Real Assets</w:t>
      </w:r>
    </w:p>
    <w:p w14:paraId="59F36D68" w14:textId="446B8F52" w:rsidR="004315B5" w:rsidRPr="002A626E" w:rsidRDefault="004315B5" w:rsidP="004315B5">
      <w:pPr>
        <w:rPr>
          <w:rFonts w:ascii="Arial" w:hAnsi="Arial" w:cs="Arial"/>
        </w:rPr>
      </w:pPr>
    </w:p>
    <w:p w14:paraId="79DEDD31" w14:textId="6D662550" w:rsidR="004315B5" w:rsidRPr="004315B5" w:rsidRDefault="003A6A37" w:rsidP="00F947F3">
      <w:pPr>
        <w:pStyle w:val="ListParagraph"/>
        <w:numPr>
          <w:ilvl w:val="0"/>
          <w:numId w:val="8"/>
        </w:numPr>
        <w:ind w:left="3261"/>
        <w:rPr>
          <w:rFonts w:ascii="Arial" w:hAnsi="Arial" w:cs="Arial"/>
        </w:rPr>
      </w:pPr>
      <w:bookmarkStart w:id="0" w:name="_GoBack"/>
      <w:r>
        <w:rPr>
          <w:rFonts w:ascii="Arial" w:hAnsi="Arial" w:cs="Arial"/>
          <w:noProof/>
        </w:rPr>
        <w:drawing>
          <wp:anchor distT="0" distB="0" distL="114300" distR="114300" simplePos="0" relativeHeight="251664896" behindDoc="0" locked="0" layoutInCell="1" allowOverlap="1" wp14:anchorId="03DD3305" wp14:editId="49FA3C49">
            <wp:simplePos x="0" y="0"/>
            <wp:positionH relativeFrom="column">
              <wp:posOffset>129095</wp:posOffset>
            </wp:positionH>
            <wp:positionV relativeFrom="paragraph">
              <wp:posOffset>22225</wp:posOffset>
            </wp:positionV>
            <wp:extent cx="1424940" cy="14249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ergladwell.jpg"/>
                    <pic:cNvPicPr/>
                  </pic:nvPicPr>
                  <pic:blipFill>
                    <a:blip r:embed="rId13">
                      <a:extLst>
                        <a:ext uri="{28A0092B-C50C-407E-A947-70E740481C1C}">
                          <a14:useLocalDpi xmlns:a14="http://schemas.microsoft.com/office/drawing/2010/main" val="0"/>
                        </a:ext>
                      </a:extLst>
                    </a:blip>
                    <a:stretch>
                      <a:fillRect/>
                    </a:stretch>
                  </pic:blipFill>
                  <pic:spPr>
                    <a:xfrm>
                      <a:off x="0" y="0"/>
                      <a:ext cx="1424940" cy="1424940"/>
                    </a:xfrm>
                    <a:prstGeom prst="rect">
                      <a:avLst/>
                    </a:prstGeom>
                  </pic:spPr>
                </pic:pic>
              </a:graphicData>
            </a:graphic>
            <wp14:sizeRelH relativeFrom="page">
              <wp14:pctWidth>0</wp14:pctWidth>
            </wp14:sizeRelH>
            <wp14:sizeRelV relativeFrom="page">
              <wp14:pctHeight>0</wp14:pctHeight>
            </wp14:sizeRelV>
          </wp:anchor>
        </w:drawing>
      </w:r>
      <w:bookmarkEnd w:id="0"/>
      <w:r w:rsidR="004315B5" w:rsidRPr="004315B5">
        <w:rPr>
          <w:rFonts w:ascii="Arial" w:hAnsi="Arial" w:cs="Arial"/>
        </w:rPr>
        <w:t>Pete Gladwell joined Legal &amp; General in August 2007, with responsibility for the design and development of new funds and overseeing relationships with pension funds, investment consultants, and insurance clients.  In 2013, Pete was appointed Head of Public Sector Partnerships, to lead L&amp;G's direct investments into partnerships with RIO/UKTI, Registered Providers, Universities, NHS Trusts, Local Authorities, and central government.  These investments now total over £1.7bn.</w:t>
      </w:r>
    </w:p>
    <w:p w14:paraId="6AB9132F" w14:textId="77777777" w:rsidR="004315B5" w:rsidRPr="002A626E" w:rsidRDefault="004315B5" w:rsidP="00F947F3">
      <w:pPr>
        <w:ind w:left="3261"/>
        <w:rPr>
          <w:rFonts w:ascii="Arial" w:hAnsi="Arial" w:cs="Arial"/>
        </w:rPr>
      </w:pPr>
    </w:p>
    <w:p w14:paraId="75D89144" w14:textId="77777777" w:rsidR="004315B5" w:rsidRPr="004315B5" w:rsidRDefault="004315B5" w:rsidP="003A6A37">
      <w:pPr>
        <w:pStyle w:val="ListParagraph"/>
        <w:numPr>
          <w:ilvl w:val="0"/>
          <w:numId w:val="8"/>
        </w:numPr>
        <w:ind w:left="426"/>
        <w:rPr>
          <w:rFonts w:ascii="Arial" w:hAnsi="Arial" w:cs="Arial"/>
        </w:rPr>
      </w:pPr>
      <w:r w:rsidRPr="004315B5">
        <w:rPr>
          <w:rFonts w:ascii="Arial" w:hAnsi="Arial" w:cs="Arial"/>
        </w:rPr>
        <w:t>Pete was formally a Senior Analyst in DTZ Research and enjoyed an erstwhile life as a youth worker for seven years in the Oxfordshire area. Member of Oxford University, holding a post-graduate MA, as well as an initial degree in Computation, he also holds the Investment Management Certificate. Pete is also a Trustee for the Young Foundation, which works to create a more equal and just society through social innovation.</w:t>
      </w:r>
    </w:p>
    <w:p w14:paraId="3E8322B1" w14:textId="73D9D265" w:rsidR="00B23DA6" w:rsidRPr="00891AE9" w:rsidRDefault="00B23DA6" w:rsidP="00A055A8">
      <w:pPr>
        <w:rPr>
          <w:rFonts w:ascii="Arial" w:hAnsi="Arial" w:cs="Arial"/>
        </w:rPr>
      </w:pPr>
      <w:bookmarkStart w:id="1" w:name="MainHeading2"/>
      <w:bookmarkEnd w:id="1"/>
    </w:p>
    <w:sectPr w:rsidR="00B23DA6" w:rsidRPr="00891AE9">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4315B5" w:rsidRDefault="004315B5">
      <w:r>
        <w:separator/>
      </w:r>
    </w:p>
  </w:endnote>
  <w:endnote w:type="continuationSeparator" w:id="0">
    <w:p w14:paraId="3E8322B5" w14:textId="77777777" w:rsidR="004315B5" w:rsidRDefault="0043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4315B5" w:rsidRDefault="004315B5">
    <w:pPr>
      <w:pStyle w:val="Footer"/>
      <w:tabs>
        <w:tab w:val="clear" w:pos="4153"/>
        <w:tab w:val="clear" w:pos="8306"/>
        <w:tab w:val="right" w:pos="9923"/>
      </w:tabs>
      <w:ind w:right="-994"/>
      <w:rPr>
        <w:sz w:val="12"/>
      </w:rPr>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4315B5" w:rsidRDefault="004315B5">
      <w:r>
        <w:separator/>
      </w:r>
    </w:p>
  </w:footnote>
  <w:footnote w:type="continuationSeparator" w:id="0">
    <w:p w14:paraId="3E8322B3" w14:textId="77777777" w:rsidR="004315B5" w:rsidRDefault="00431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42"/>
      <w:gridCol w:w="3384"/>
    </w:tblGrid>
    <w:tr w:rsidR="004315B5" w:rsidRPr="00241211" w14:paraId="66AAAB98" w14:textId="77777777" w:rsidTr="00241211">
      <w:trPr>
        <w:trHeight w:val="279"/>
      </w:trPr>
      <w:tc>
        <w:tcPr>
          <w:tcW w:w="5665" w:type="dxa"/>
          <w:vMerge w:val="restart"/>
          <w:shd w:val="clear" w:color="auto" w:fill="auto"/>
        </w:tcPr>
        <w:p w14:paraId="4BB54324" w14:textId="77777777" w:rsidR="004315B5" w:rsidRPr="00241211" w:rsidRDefault="004315B5" w:rsidP="00241211">
          <w:pPr>
            <w:tabs>
              <w:tab w:val="center" w:pos="2923"/>
              <w:tab w:val="center" w:pos="4153"/>
              <w:tab w:val="right" w:pos="8306"/>
            </w:tabs>
            <w:rPr>
              <w:rFonts w:ascii="Arial" w:hAnsi="Arial" w:cs="Arial"/>
              <w:noProof/>
              <w:sz w:val="44"/>
              <w:szCs w:val="44"/>
            </w:rPr>
          </w:pPr>
          <w:r w:rsidRPr="00241211">
            <w:rPr>
              <w:rFonts w:ascii="Arial" w:hAnsi="Arial" w:cs="Arial"/>
              <w:noProof/>
              <w:sz w:val="44"/>
              <w:szCs w:val="44"/>
            </w:rPr>
            <w:drawing>
              <wp:inline distT="0" distB="0" distL="0" distR="0" wp14:anchorId="4588DFEC" wp14:editId="2F0331F5">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6" w:type="dxa"/>
          <w:shd w:val="clear" w:color="auto" w:fill="auto"/>
          <w:vAlign w:val="center"/>
        </w:tcPr>
        <w:p w14:paraId="03DD9506" w14:textId="77777777" w:rsidR="004315B5" w:rsidRPr="00241211" w:rsidRDefault="004315B5" w:rsidP="00241211">
          <w:pPr>
            <w:tabs>
              <w:tab w:val="center" w:pos="4153"/>
              <w:tab w:val="right" w:pos="8306"/>
            </w:tabs>
            <w:rPr>
              <w:rFonts w:ascii="Arial" w:eastAsia="Arial" w:hAnsi="Arial" w:cs="Arial"/>
              <w:b/>
              <w:bCs/>
            </w:rPr>
          </w:pPr>
        </w:p>
      </w:tc>
    </w:tr>
    <w:tr w:rsidR="004315B5" w:rsidRPr="00241211" w14:paraId="5AE32820" w14:textId="77777777" w:rsidTr="00241211">
      <w:trPr>
        <w:trHeight w:val="723"/>
      </w:trPr>
      <w:tc>
        <w:tcPr>
          <w:tcW w:w="5665" w:type="dxa"/>
          <w:vMerge/>
          <w:shd w:val="clear" w:color="auto" w:fill="auto"/>
        </w:tcPr>
        <w:p w14:paraId="3C85CAB3" w14:textId="77777777" w:rsidR="004315B5" w:rsidRPr="00241211" w:rsidRDefault="004315B5" w:rsidP="00241211">
          <w:pPr>
            <w:tabs>
              <w:tab w:val="center" w:pos="2923"/>
            </w:tabs>
          </w:pPr>
        </w:p>
      </w:tc>
      <w:tc>
        <w:tcPr>
          <w:tcW w:w="3396" w:type="dxa"/>
          <w:shd w:val="clear" w:color="auto" w:fill="auto"/>
          <w:vAlign w:val="center"/>
        </w:tcPr>
        <w:p w14:paraId="73BDFEC1" w14:textId="77777777" w:rsidR="004315B5" w:rsidRPr="00241211" w:rsidRDefault="004315B5" w:rsidP="00241211">
          <w:pPr>
            <w:tabs>
              <w:tab w:val="center" w:pos="4153"/>
              <w:tab w:val="right" w:pos="8306"/>
            </w:tabs>
            <w:rPr>
              <w:rFonts w:ascii="Arial" w:eastAsia="Arial" w:hAnsi="Arial" w:cs="Arial"/>
              <w:b/>
              <w:bCs/>
              <w:i/>
              <w:iCs/>
            </w:rPr>
          </w:pPr>
          <w:r w:rsidRPr="00241211">
            <w:rPr>
              <w:rFonts w:ascii="Arial" w:eastAsia="Arial" w:hAnsi="Arial" w:cs="Arial"/>
              <w:b/>
              <w:bCs/>
            </w:rPr>
            <w:t>Environment, Economy, Housing and Transport Board</w:t>
          </w:r>
        </w:p>
      </w:tc>
    </w:tr>
    <w:tr w:rsidR="004315B5" w:rsidRPr="00241211" w14:paraId="0E6B4D80" w14:textId="77777777" w:rsidTr="00241211">
      <w:trPr>
        <w:trHeight w:val="85"/>
      </w:trPr>
      <w:tc>
        <w:tcPr>
          <w:tcW w:w="5665" w:type="dxa"/>
          <w:vMerge/>
          <w:shd w:val="clear" w:color="auto" w:fill="auto"/>
        </w:tcPr>
        <w:p w14:paraId="578730C2" w14:textId="77777777" w:rsidR="004315B5" w:rsidRPr="00241211" w:rsidRDefault="004315B5" w:rsidP="00241211">
          <w:pPr>
            <w:tabs>
              <w:tab w:val="center" w:pos="4153"/>
              <w:tab w:val="right" w:pos="8306"/>
            </w:tabs>
          </w:pPr>
        </w:p>
      </w:tc>
      <w:tc>
        <w:tcPr>
          <w:tcW w:w="3396" w:type="dxa"/>
          <w:shd w:val="clear" w:color="auto" w:fill="auto"/>
          <w:vAlign w:val="center"/>
        </w:tcPr>
        <w:p w14:paraId="78667A35" w14:textId="77777777" w:rsidR="004315B5" w:rsidRPr="00241211" w:rsidRDefault="004315B5" w:rsidP="00241211">
          <w:pPr>
            <w:tabs>
              <w:tab w:val="center" w:pos="4153"/>
              <w:tab w:val="right" w:pos="8306"/>
            </w:tabs>
            <w:spacing w:before="60"/>
            <w:rPr>
              <w:rFonts w:ascii="Arial" w:eastAsia="Arial" w:hAnsi="Arial" w:cs="Arial"/>
            </w:rPr>
          </w:pPr>
          <w:r w:rsidRPr="00241211">
            <w:rPr>
              <w:rFonts w:ascii="Arial" w:eastAsia="Arial" w:hAnsi="Arial" w:cs="Arial"/>
            </w:rPr>
            <w:t>5</w:t>
          </w:r>
          <w:r w:rsidRPr="00241211">
            <w:rPr>
              <w:rFonts w:ascii="Arial" w:eastAsia="Arial" w:hAnsi="Arial" w:cs="Arial"/>
              <w:vertAlign w:val="superscript"/>
            </w:rPr>
            <w:t xml:space="preserve"> </w:t>
          </w:r>
          <w:r w:rsidRPr="00241211">
            <w:rPr>
              <w:rFonts w:ascii="Arial" w:eastAsia="Arial" w:hAnsi="Arial" w:cs="Arial"/>
            </w:rPr>
            <w:t>January 2017</w:t>
          </w:r>
        </w:p>
      </w:tc>
    </w:tr>
  </w:tbl>
  <w:p w14:paraId="3E8322BF" w14:textId="77777777" w:rsidR="004315B5" w:rsidRPr="0021114E" w:rsidRDefault="004315B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4315B5" w:rsidRDefault="004315B5" w:rsidP="00241211">
    <w:pPr>
      <w:pStyle w:val="Header"/>
      <w:rPr>
        <w:sz w:val="2"/>
      </w:rPr>
    </w:pPr>
  </w:p>
  <w:p w14:paraId="3E8322C2" w14:textId="77777777" w:rsidR="004315B5" w:rsidRDefault="004315B5" w:rsidP="00241211">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4315B5" w:rsidRPr="001D2C76" w14:paraId="3E8322C5" w14:textId="77777777" w:rsidTr="00241211">
      <w:tc>
        <w:tcPr>
          <w:tcW w:w="6062" w:type="dxa"/>
          <w:vMerge w:val="restart"/>
        </w:tcPr>
        <w:p w14:paraId="3E8322C3" w14:textId="77777777" w:rsidR="004315B5" w:rsidRDefault="004315B5" w:rsidP="00241211">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4315B5" w:rsidRPr="001D2C76" w:rsidRDefault="004315B5" w:rsidP="00241211">
          <w:pPr>
            <w:pStyle w:val="Header"/>
            <w:rPr>
              <w:b/>
            </w:rPr>
          </w:pPr>
          <w:r>
            <w:rPr>
              <w:rFonts w:ascii="Arial" w:hAnsi="Arial" w:cs="Arial"/>
              <w:b/>
              <w:sz w:val="24"/>
              <w:szCs w:val="24"/>
            </w:rPr>
            <w:t>Meeting title</w:t>
          </w:r>
        </w:p>
      </w:tc>
    </w:tr>
    <w:tr w:rsidR="004315B5" w14:paraId="3E8322C8" w14:textId="77777777" w:rsidTr="00241211">
      <w:trPr>
        <w:trHeight w:val="450"/>
      </w:trPr>
      <w:tc>
        <w:tcPr>
          <w:tcW w:w="6062" w:type="dxa"/>
          <w:vMerge/>
        </w:tcPr>
        <w:p w14:paraId="3E8322C6" w14:textId="77777777" w:rsidR="004315B5" w:rsidRDefault="004315B5" w:rsidP="00241211">
          <w:pPr>
            <w:pStyle w:val="Header"/>
          </w:pPr>
        </w:p>
      </w:tc>
      <w:tc>
        <w:tcPr>
          <w:tcW w:w="3225" w:type="dxa"/>
        </w:tcPr>
        <w:p w14:paraId="3E8322C7" w14:textId="77777777" w:rsidR="004315B5" w:rsidRDefault="004315B5" w:rsidP="00241211">
          <w:pPr>
            <w:pStyle w:val="Header"/>
            <w:spacing w:before="60"/>
          </w:pPr>
          <w:r>
            <w:rPr>
              <w:rFonts w:ascii="Arial" w:hAnsi="Arial" w:cs="Arial"/>
              <w:sz w:val="24"/>
              <w:szCs w:val="24"/>
            </w:rPr>
            <w:t xml:space="preserve">Meeting date </w:t>
          </w:r>
        </w:p>
      </w:tc>
    </w:tr>
    <w:tr w:rsidR="004315B5" w14:paraId="3E8322CC" w14:textId="77777777" w:rsidTr="00241211">
      <w:trPr>
        <w:trHeight w:val="450"/>
      </w:trPr>
      <w:tc>
        <w:tcPr>
          <w:tcW w:w="6062" w:type="dxa"/>
          <w:vMerge/>
        </w:tcPr>
        <w:p w14:paraId="3E8322C9" w14:textId="77777777" w:rsidR="004315B5" w:rsidRDefault="004315B5" w:rsidP="00241211">
          <w:pPr>
            <w:pStyle w:val="Header"/>
          </w:pPr>
        </w:p>
      </w:tc>
      <w:tc>
        <w:tcPr>
          <w:tcW w:w="3225" w:type="dxa"/>
        </w:tcPr>
        <w:p w14:paraId="3E8322CA" w14:textId="77777777" w:rsidR="004315B5" w:rsidRDefault="004315B5" w:rsidP="00241211">
          <w:pPr>
            <w:pStyle w:val="Header"/>
            <w:spacing w:before="60"/>
            <w:rPr>
              <w:rFonts w:ascii="Arial" w:hAnsi="Arial" w:cs="Arial"/>
              <w:b/>
              <w:sz w:val="24"/>
              <w:szCs w:val="24"/>
            </w:rPr>
          </w:pPr>
        </w:p>
        <w:p w14:paraId="3E8322CB" w14:textId="77777777" w:rsidR="004315B5" w:rsidRPr="00546D0D" w:rsidRDefault="004315B5" w:rsidP="00241211">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4315B5" w:rsidRDefault="004315B5" w:rsidP="0024121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A0B64"/>
    <w:multiLevelType w:val="hybridMultilevel"/>
    <w:tmpl w:val="A02AE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5F4DBC"/>
    <w:multiLevelType w:val="hybridMultilevel"/>
    <w:tmpl w:val="BFFE2656"/>
    <w:lvl w:ilvl="0" w:tplc="4CE45A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379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2102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366129"/>
    <w:multiLevelType w:val="hybridMultilevel"/>
    <w:tmpl w:val="36F84ADC"/>
    <w:lvl w:ilvl="0" w:tplc="4CE45A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A74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0"/>
  </w:num>
  <w:num w:numId="4">
    <w:abstractNumId w:val="5"/>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241211"/>
    <w:rsid w:val="00243DF2"/>
    <w:rsid w:val="002634A5"/>
    <w:rsid w:val="003A6A37"/>
    <w:rsid w:val="004315B5"/>
    <w:rsid w:val="004A0786"/>
    <w:rsid w:val="00572D7A"/>
    <w:rsid w:val="00612E8B"/>
    <w:rsid w:val="00820FF5"/>
    <w:rsid w:val="00841D53"/>
    <w:rsid w:val="00891AE9"/>
    <w:rsid w:val="00992E96"/>
    <w:rsid w:val="00A055A8"/>
    <w:rsid w:val="00B14E17"/>
    <w:rsid w:val="00B23DA6"/>
    <w:rsid w:val="00B27F61"/>
    <w:rsid w:val="00C03562"/>
    <w:rsid w:val="00D45B4D"/>
    <w:rsid w:val="00DF09AF"/>
    <w:rsid w:val="00E1448D"/>
    <w:rsid w:val="00E24E18"/>
    <w:rsid w:val="00E70A07"/>
    <w:rsid w:val="00ED60BA"/>
    <w:rsid w:val="00F32906"/>
    <w:rsid w:val="00F82574"/>
    <w:rsid w:val="00F94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microsoft.com/office/2006/documentManagement/types"/>
    <ds:schemaRef ds:uri="http://purl.org/dc/elements/1.1/"/>
    <ds:schemaRef ds:uri="http://schemas.microsoft.com/office/infopath/2007/PartnerControls"/>
    <ds:schemaRef ds:uri="c8febe6a-14d9-43ab-83c3-c48f478fa47c"/>
    <ds:schemaRef ds:uri="http://schemas.openxmlformats.org/package/2006/metadata/core-properties"/>
    <ds:schemaRef ds:uri="http://www.w3.org/XML/1998/namespace"/>
    <ds:schemaRef ds:uri="http://purl.org/dc/dcmitype/"/>
    <ds:schemaRef ds:uri="1c8a0e75-f4bc-4eb4-8ed0-578eaea9e1c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2E04EF8D-6F72-404D-976D-52492181F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C9C05-D350-4957-88D2-EEE60621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AC4D83BA</Template>
  <TotalTime>2</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Joseph Ling</cp:lastModifiedBy>
  <cp:revision>4</cp:revision>
  <dcterms:created xsi:type="dcterms:W3CDTF">2016-12-19T12:38:00Z</dcterms:created>
  <dcterms:modified xsi:type="dcterms:W3CDTF">2016-12-20T09:57:00Z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0x0101000F4EAB03B2E8D04DBFAEDF240153C527</vt:lpwstr>
  </property>
  <property fmtid="{D5CDD505-2E9C-101B-9397-08002B2CF9AE}" pid="3" name="LGA Template">
    <vt:lpwstr>Template</vt:lpwstr>
  </property>
</Properties>
</file>